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4" w:rsidRDefault="00073D08">
      <w:pPr>
        <w:rPr>
          <w:rFonts w:ascii="Verdana" w:eastAsia="Verdana" w:hAnsi="Verdana" w:cs="Verdana"/>
          <w:b/>
          <w:sz w:val="36"/>
          <w:szCs w:val="36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36"/>
          <w:szCs w:val="36"/>
        </w:rPr>
        <w:t>Twiss Green Community Primary School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5393055</wp:posOffset>
            </wp:positionH>
            <wp:positionV relativeFrom="paragraph">
              <wp:posOffset>-293369</wp:posOffset>
            </wp:positionV>
            <wp:extent cx="860425" cy="853440"/>
            <wp:effectExtent l="0" t="0" r="0" b="0"/>
            <wp:wrapSquare wrapText="bothSides" distT="0" distB="0" distL="114300" distR="114300"/>
            <wp:docPr id="3" name="image1.jpg" descr="TG logo bl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G logo blu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53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54F4" w:rsidRDefault="00073D08">
      <w:pPr>
        <w:rPr>
          <w:rFonts w:ascii="Verdana" w:eastAsia="Verdana" w:hAnsi="Verdana" w:cs="Verdana"/>
          <w:b/>
          <w:sz w:val="36"/>
          <w:szCs w:val="36"/>
        </w:rPr>
      </w:pPr>
      <w:r>
        <w:rPr>
          <w:rFonts w:ascii="Verdana" w:eastAsia="Verdana" w:hAnsi="Verdana" w:cs="Verdana"/>
          <w:b/>
          <w:sz w:val="36"/>
          <w:szCs w:val="36"/>
        </w:rPr>
        <w:t>Policy for Music</w:t>
      </w:r>
    </w:p>
    <w:p w:rsidR="004054F4" w:rsidRDefault="0007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Principle</w:t>
      </w:r>
    </w:p>
    <w:p w:rsidR="004054F4" w:rsidRDefault="0007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Music is taught at Twiss Green to ensure that children are engaged in making and responding to music.</w:t>
      </w:r>
    </w:p>
    <w:p w:rsidR="004054F4" w:rsidRDefault="0040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</w:p>
    <w:p w:rsidR="004054F4" w:rsidRDefault="0007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Intent</w:t>
      </w:r>
    </w:p>
    <w:p w:rsidR="004054F4" w:rsidRDefault="0040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</w:p>
    <w:p w:rsidR="004054F4" w:rsidRDefault="0007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To enable our children to:</w:t>
      </w:r>
    </w:p>
    <w:p w:rsidR="004054F4" w:rsidRDefault="0040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:rsidR="004054F4" w:rsidRDefault="00073D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color w:val="000000"/>
          <w:sz w:val="24"/>
          <w:szCs w:val="24"/>
        </w:rPr>
        <w:t xml:space="preserve">develop knowledge about and appreciation of, all types of music.  </w:t>
      </w:r>
    </w:p>
    <w:p w:rsidR="004054F4" w:rsidRDefault="00073D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be engaged and enriched by their learning in music</w:t>
      </w:r>
    </w:p>
    <w:p w:rsidR="004054F4" w:rsidRDefault="00073D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to appreciate its importance across all cultures.  </w:t>
      </w:r>
    </w:p>
    <w:p w:rsidR="004054F4" w:rsidRDefault="00073D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be imaginative and intellectually curious</w:t>
      </w:r>
    </w:p>
    <w:p w:rsidR="004054F4" w:rsidRDefault="00073D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be provided with opportunities for thinking </w:t>
      </w:r>
      <w:r>
        <w:rPr>
          <w:rFonts w:ascii="Verdana" w:eastAsia="Verdana" w:hAnsi="Verdana" w:cs="Verdana"/>
          <w:color w:val="000000"/>
          <w:sz w:val="24"/>
          <w:szCs w:val="24"/>
        </w:rPr>
        <w:t>creatively</w:t>
      </w:r>
    </w:p>
    <w:p w:rsidR="004054F4" w:rsidRDefault="0040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:rsidR="004054F4" w:rsidRDefault="0007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Implementation</w:t>
      </w:r>
    </w:p>
    <w:p w:rsidR="004054F4" w:rsidRDefault="0007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Pupils are taught to: </w:t>
      </w:r>
    </w:p>
    <w:p w:rsidR="004054F4" w:rsidRDefault="0040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:rsidR="004054F4" w:rsidRDefault="00073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1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play and perform in solo and ensemble contexts, using their voices and playing musical instruments with increasing accuracy, fluency, control and expression </w:t>
      </w:r>
    </w:p>
    <w:p w:rsidR="004054F4" w:rsidRDefault="00073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1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improvise and compose music for a range of purposes listen with attention to detail and recall sounds with increasing aural memory </w:t>
      </w:r>
    </w:p>
    <w:p w:rsidR="004054F4" w:rsidRDefault="00073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1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use and understand staff and other musical notations </w:t>
      </w:r>
    </w:p>
    <w:p w:rsidR="004054F4" w:rsidRDefault="00073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1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appreciate and understand a wide range of high-quality live and record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ed music drawn from different traditions and from great composers and musicians </w:t>
      </w:r>
    </w:p>
    <w:p w:rsidR="004054F4" w:rsidRDefault="00073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develop an understanding of the history of music. </w:t>
      </w:r>
    </w:p>
    <w:p w:rsidR="004054F4" w:rsidRDefault="0040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</w:p>
    <w:p w:rsidR="004054F4" w:rsidRDefault="0007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The teaching of music is undertaken by</w:t>
      </w:r>
      <w:r>
        <w:rPr>
          <w:rFonts w:ascii="Verdana" w:eastAsia="Verdana" w:hAnsi="Verdana" w:cs="Verdana"/>
          <w:sz w:val="24"/>
          <w:szCs w:val="24"/>
        </w:rPr>
        <w:t xml:space="preserve"> one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teacher</w:t>
      </w:r>
      <w:r>
        <w:rPr>
          <w:rFonts w:ascii="Verdana" w:eastAsia="Verdana" w:hAnsi="Verdana" w:cs="Verdana"/>
          <w:sz w:val="24"/>
          <w:szCs w:val="24"/>
        </w:rPr>
        <w:t xml:space="preserve"> for the Foundation Stage and Key Stage 1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and </w:t>
      </w:r>
      <w:r>
        <w:rPr>
          <w:rFonts w:ascii="Verdana" w:eastAsia="Verdana" w:hAnsi="Verdana" w:cs="Verdana"/>
          <w:sz w:val="24"/>
          <w:szCs w:val="24"/>
        </w:rPr>
        <w:t xml:space="preserve">class teachers for Key Stage 2.  </w:t>
      </w:r>
      <w:proofErr w:type="spellStart"/>
      <w:r>
        <w:rPr>
          <w:rFonts w:ascii="Verdana" w:eastAsia="Verdana" w:hAnsi="Verdana" w:cs="Verdana"/>
          <w:sz w:val="24"/>
          <w:szCs w:val="24"/>
        </w:rPr>
        <w:t>Charanga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is used to implement the teaching of music.  </w:t>
      </w:r>
    </w:p>
    <w:p w:rsidR="004054F4" w:rsidRDefault="0007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The children have the opportunity to work in a variety of ways, i.e. individually, in small groups, as a whole class and as a whole key stage. </w:t>
      </w:r>
    </w:p>
    <w:p w:rsidR="004054F4" w:rsidRDefault="0007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The children communicate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their knowledge and skills through performance at a variety of levels. Professional musicians regularly visit the school to broaden children’s experience and understanding.</w:t>
      </w:r>
    </w:p>
    <w:p w:rsidR="004054F4" w:rsidRDefault="0040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:rsidR="004054F4" w:rsidRDefault="0007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At the Foundation Stage the teaching of music is incorporated into the ‘Creative Development’ element of the Early Learning Goals.  Children sing </w:t>
      </w:r>
      <w:r>
        <w:rPr>
          <w:rFonts w:ascii="Verdana" w:eastAsia="Verdana" w:hAnsi="Verdana" w:cs="Verdana"/>
          <w:color w:val="000000"/>
          <w:sz w:val="24"/>
          <w:szCs w:val="24"/>
        </w:rPr>
        <w:lastRenderedPageBreak/>
        <w:t>simple songs from memory and recognise and explore how sounds can be changed.  They recognise sounds and sound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patterns and respond through movement to music.  </w:t>
      </w:r>
    </w:p>
    <w:p w:rsidR="004054F4" w:rsidRDefault="0040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:rsidR="004054F4" w:rsidRDefault="0007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In Key Stage 1 the children are taught to use their voices expressively and creatively, play tuned and un-tuned instruments musically.  They are taught to listen with concentration and understanding to a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range of high-quality live and recorded music and to experiment with, create, select and combine sounds using the inter-related dimensions of music. </w:t>
      </w:r>
    </w:p>
    <w:p w:rsidR="004054F4" w:rsidRDefault="0040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:rsidR="004054F4" w:rsidRDefault="00073D0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In Key Stage 2 the children are taught to play and perform in solo and ensemble contexts, using their voi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ces and playing musical instruments with increasing accuracy, fluency, control and expression.  They are taught to improvise and compose music for a range of purposes using the inter-related dimensions of music. They are taught to use and understand staff </w:t>
      </w:r>
      <w:r>
        <w:rPr>
          <w:rFonts w:ascii="Verdana" w:eastAsia="Verdana" w:hAnsi="Verdana" w:cs="Verdana"/>
          <w:color w:val="000000"/>
          <w:sz w:val="24"/>
          <w:szCs w:val="24"/>
        </w:rPr>
        <w:t>and other musical notations.  They are taught to listen with attention to detail and recall sounds with increasing aural memory and to appreciate and understand a wide range of high-quality live and recorded music drawn from different traditions and from g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reat composers and musicians.  In doing this they are able to develop an understanding of the history of music. </w:t>
      </w:r>
    </w:p>
    <w:p w:rsidR="004054F4" w:rsidRDefault="0007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3366FF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Older children (Year 4 onwards) have access to peripatetic teaching in a wide variety of instruments.  This is funded by parental contributions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and Pupil Premium funding.</w:t>
      </w:r>
      <w:r>
        <w:rPr>
          <w:rFonts w:ascii="Verdana" w:eastAsia="Verdana" w:hAnsi="Verdana" w:cs="Verdana"/>
          <w:color w:val="3366FF"/>
          <w:sz w:val="24"/>
          <w:szCs w:val="24"/>
        </w:rPr>
        <w:t xml:space="preserve">  </w:t>
      </w:r>
    </w:p>
    <w:p w:rsidR="004054F4" w:rsidRDefault="0007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>iolin lessons are available from Year 3 onwards.</w:t>
      </w:r>
    </w:p>
    <w:p w:rsidR="004054F4" w:rsidRDefault="0007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There is a choir available for all children</w:t>
      </w:r>
      <w:r>
        <w:rPr>
          <w:rFonts w:ascii="Verdana" w:eastAsia="Verdana" w:hAnsi="Verdana" w:cs="Verdana"/>
          <w:sz w:val="24"/>
          <w:szCs w:val="24"/>
        </w:rPr>
        <w:t>.</w:t>
      </w:r>
    </w:p>
    <w:p w:rsidR="004054F4" w:rsidRDefault="0040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:rsidR="004054F4" w:rsidRDefault="0007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Updated October 20</w:t>
      </w:r>
      <w:r>
        <w:rPr>
          <w:rFonts w:ascii="Verdana" w:eastAsia="Verdana" w:hAnsi="Verdana" w:cs="Verdana"/>
          <w:sz w:val="24"/>
          <w:szCs w:val="24"/>
        </w:rPr>
        <w:t>21</w:t>
      </w:r>
    </w:p>
    <w:p w:rsidR="004054F4" w:rsidRDefault="004054F4">
      <w:pPr>
        <w:rPr>
          <w:b/>
          <w:sz w:val="24"/>
          <w:szCs w:val="24"/>
        </w:rPr>
      </w:pPr>
    </w:p>
    <w:sectPr w:rsidR="004054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301E"/>
    <w:multiLevelType w:val="multilevel"/>
    <w:tmpl w:val="5A109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DF0C4A"/>
    <w:multiLevelType w:val="multilevel"/>
    <w:tmpl w:val="23AE2B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F4"/>
    <w:rsid w:val="00073D08"/>
    <w:rsid w:val="0040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7E43C-5C83-4E40-A9F5-0E704A87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67E7A"/>
    <w:pPr>
      <w:spacing w:after="0" w:line="240" w:lineRule="auto"/>
    </w:pPr>
  </w:style>
  <w:style w:type="paragraph" w:customStyle="1" w:styleId="Default">
    <w:name w:val="Default"/>
    <w:rsid w:val="001234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yBKCI+dR+8g15h4+UNIY30PnKw==">AMUW2mUgCg289kQ8PC080EAKgwCvaoKO8e3mjRfrqm38kgEmW1SlzqzifGdMIxw7Ofi5w8QftDctxzHiLSc26qYQjY+3Kzwihsp1CSFUWgd4y3dD93FjDMp0q1M/hMFhf4i307ceDslI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staffx</dc:creator>
  <cp:lastModifiedBy>Teacher</cp:lastModifiedBy>
  <cp:revision>2</cp:revision>
  <dcterms:created xsi:type="dcterms:W3CDTF">2021-10-11T12:32:00Z</dcterms:created>
  <dcterms:modified xsi:type="dcterms:W3CDTF">2021-10-11T12:32:00Z</dcterms:modified>
</cp:coreProperties>
</file>